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15/04/2021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JGL/2021/15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75"/>
                    <w:gridCol w:w="577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75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775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75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775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 w:right="13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20 de abril de 2021 a las 9:00 2ª convocatoria: 22 de abril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7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77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58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90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5982/2021.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8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5509/2021.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4.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-1804925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98.603081pt;width:14.75pt;height:267.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6WN</w:t>
                  </w:r>
                  <w:r>
                    <w:rPr>
                      <w:spacing w:val="-9"/>
                    </w:rPr>
                    <w:t>LY</w:t>
                  </w:r>
                  <w:r>
                    <w:rPr>
                      <w:spacing w:val="-1"/>
                    </w:rPr>
                    <w:t>ASLGJQ46GNG2LLSKPKH</w:t>
                  </w:r>
                  <w:r>
                    <w:rPr/>
                    <w:t>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17486pt" to="510.199998pt,15.917486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2022-05-07T14:43:16Z</dcterms:created>
  <dcterms:modified xsi:type="dcterms:W3CDTF">2022-05-07T14:43:16Z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